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Lines w:val="0"/>
        <w:pageBreakBefore w:val="0"/>
        <w:widowControl w:val="0"/>
        <w:kinsoku/>
        <w:wordWrap/>
        <w:overflowPunct/>
        <w:topLinePunct w:val="0"/>
        <w:autoSpaceDE/>
        <w:autoSpaceDN/>
        <w:bidi w:val="0"/>
        <w:adjustRightInd/>
        <w:snapToGrid/>
        <w:spacing w:after="0" w:line="576" w:lineRule="exact"/>
        <w:ind w:right="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住房和城乡建设部 国家发展改革委</w:t>
      </w:r>
    </w:p>
    <w:p>
      <w:pPr>
        <w:pStyle w:val="2"/>
        <w:keepLines w:val="0"/>
        <w:pageBreakBefore w:val="0"/>
        <w:widowControl w:val="0"/>
        <w:kinsoku/>
        <w:wordWrap/>
        <w:overflowPunct/>
        <w:topLinePunct w:val="0"/>
        <w:autoSpaceDE/>
        <w:autoSpaceDN/>
        <w:bidi w:val="0"/>
        <w:adjustRightInd/>
        <w:snapToGrid/>
        <w:spacing w:after="0" w:line="576" w:lineRule="exact"/>
        <w:ind w:right="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关于印发房屋建筑和市政基础设施项目</w:t>
      </w:r>
    </w:p>
    <w:p>
      <w:pPr>
        <w:pStyle w:val="2"/>
        <w:keepLines w:val="0"/>
        <w:pageBreakBefore w:val="0"/>
        <w:widowControl w:val="0"/>
        <w:kinsoku/>
        <w:wordWrap/>
        <w:overflowPunct/>
        <w:topLinePunct w:val="0"/>
        <w:autoSpaceDE/>
        <w:autoSpaceDN/>
        <w:bidi w:val="0"/>
        <w:adjustRightInd/>
        <w:snapToGrid/>
        <w:spacing w:after="0" w:line="576" w:lineRule="exact"/>
        <w:ind w:right="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工程总承包管理办法的通知</w:t>
      </w:r>
    </w:p>
    <w:p>
      <w:pPr>
        <w:pStyle w:val="3"/>
        <w:keepLines w:val="0"/>
        <w:pageBreakBefore w:val="0"/>
        <w:widowControl w:val="0"/>
        <w:kinsoku/>
        <w:wordWrap/>
        <w:overflowPunct/>
        <w:topLinePunct w:val="0"/>
        <w:autoSpaceDE/>
        <w:autoSpaceDN/>
        <w:bidi w:val="0"/>
        <w:adjustRightInd/>
        <w:snapToGrid/>
        <w:spacing w:after="0" w:line="576" w:lineRule="exact"/>
        <w:ind w:right="0"/>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建市规〔2019〕12 号</w:t>
      </w:r>
    </w:p>
    <w:p>
      <w:pPr>
        <w:keepLines w:val="0"/>
        <w:pageBreakBefore w:val="0"/>
        <w:widowControl w:val="0"/>
        <w:kinsoku/>
        <w:wordWrap/>
        <w:overflowPunct/>
        <w:topLinePunct w:val="0"/>
        <w:autoSpaceDE/>
        <w:autoSpaceDN/>
        <w:bidi w:val="0"/>
        <w:adjustRightInd/>
        <w:snapToGrid/>
        <w:spacing w:after="0" w:line="576" w:lineRule="exact"/>
        <w:ind w:right="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自治区住房和城乡建设厅、发展改革委，直辖市住房和城乡建设（管）委、发展改革委，北京市规划和自然资源委，新疆生产建设兵团住房和城乡建设局、发展改革委，计划单列市住房和城乡建设局、发展改革委：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为贯彻落实《中共中央国务院关于进一步加强城市规划建设管理工作的若干意见》和《国务院办公厅关于促进建筑业持续健康发展的意见》（国办发〔2017〕19 号），住房和城乡建设部、国家发展改革委制定了《房屋建筑和市政基础设施项目工程总承包管理办法》。现印发给你们，请结合本地区实际，认真贯彻执行。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righ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中华人民共和国住房和城乡建设部                         </w:t>
      </w:r>
    </w:p>
    <w:p>
      <w:pPr>
        <w:keepLines w:val="0"/>
        <w:pageBreakBefore w:val="0"/>
        <w:widowControl w:val="0"/>
        <w:kinsoku/>
        <w:wordWrap/>
        <w:overflowPunct/>
        <w:topLinePunct w:val="0"/>
        <w:autoSpaceDE/>
        <w:autoSpaceDN/>
        <w:bidi w:val="0"/>
        <w:adjustRightInd/>
        <w:snapToGrid/>
        <w:spacing w:after="0" w:line="576" w:lineRule="exact"/>
        <w:ind w:left="279" w:leftChars="82" w:right="0" w:firstLine="3068" w:firstLineChars="1096"/>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中华人民共和国国家发展和改革委员会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pPr>
        <w:pStyle w:val="2"/>
        <w:keepLines w:val="0"/>
        <w:pageBreakBefore w:val="0"/>
        <w:widowControl w:val="0"/>
        <w:kinsoku/>
        <w:wordWrap/>
        <w:overflowPunct/>
        <w:topLinePunct w:val="0"/>
        <w:autoSpaceDE/>
        <w:autoSpaceDN/>
        <w:bidi w:val="0"/>
        <w:adjustRightInd/>
        <w:snapToGrid/>
        <w:spacing w:after="0" w:line="576" w:lineRule="exact"/>
        <w:ind w:right="0"/>
        <w:jc w:val="center"/>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房屋建筑和市政基础设施项目工程总承包管理办法</w:t>
      </w:r>
    </w:p>
    <w:p>
      <w:pPr>
        <w:pStyle w:val="3"/>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微软雅黑" w:hAnsi="微软雅黑" w:eastAsia="微软雅黑" w:cs="微软雅黑"/>
          <w:b/>
          <w:bCs/>
          <w:color w:val="auto"/>
          <w:sz w:val="28"/>
          <w:szCs w:val="28"/>
        </w:rPr>
        <w:t>第一章  总则</w:t>
      </w:r>
      <w:r>
        <w:rPr>
          <w:rFonts w:hint="eastAsia" w:ascii="宋体" w:hAnsi="宋体" w:eastAsia="宋体" w:cs="宋体"/>
          <w:color w:val="auto"/>
          <w:sz w:val="28"/>
          <w:szCs w:val="28"/>
        </w:rPr>
        <w:t xml:space="preserve">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第一条  为规范房屋建筑和市政基础设施项目工程总承包活动，提升工程建设质量和效益，根据相关法律法规，制定本办法。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第二条  从事房屋建筑和市政基础设施项目工程总承包活动，实施对房屋建筑和市政基础设施项目工程总承包活动的监督管理，适用本办法。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第三条  本办法所称工程总承包，是指承包单位按照与建设单位签订的合同，对工程设计、采购、施工或者设计、施工等阶段实行总承包，并对工程的质量、安全、工期和造价等全面负责的工程建设组织实施方式。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第四条  工程总承包活动应当遵循合法、公平、诚实守信的原则，合理分担风险，保证工程质量和安全，节约能源，保护生态环境，不得损害社会公共利益和他人的合法权益。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第五条  国务院住房和城乡建设主管部门对全国房屋建筑和市政基础设施项目工程总承包活动实施监督管理。国务院发展改革部门依据固定资产投资建设管理的相关法律法规履行相应的管理职责。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县级以上地方人民政府住房和城乡建设主管部门负责本行政区域内房屋建筑和市政基础设施项目工程总承包（以下简称工程总承包）活动的监督管理。县级以上地方人民政府发展改革部门依据固定资产投资建设管理的相关法律法规在本行政区域内履行相应的管理职责。 </w:t>
      </w:r>
    </w:p>
    <w:p>
      <w:pPr>
        <w:keepLines w:val="0"/>
        <w:pageBreakBefore w:val="0"/>
        <w:widowControl w:val="0"/>
        <w:kinsoku/>
        <w:wordWrap/>
        <w:overflowPunct/>
        <w:topLinePunct w:val="0"/>
        <w:autoSpaceDE/>
        <w:autoSpaceDN/>
        <w:bidi w:val="0"/>
        <w:adjustRightInd/>
        <w:snapToGrid/>
        <w:spacing w:after="0" w:line="576" w:lineRule="exact"/>
        <w:ind w:right="0"/>
        <w:jc w:val="center"/>
        <w:textAlignment w:val="auto"/>
        <w:rPr>
          <w:rFonts w:hint="eastAsia" w:ascii="宋体" w:hAnsi="宋体" w:eastAsia="宋体" w:cs="宋体"/>
          <w:color w:val="auto"/>
          <w:sz w:val="28"/>
          <w:szCs w:val="28"/>
        </w:rPr>
      </w:pPr>
      <w:r>
        <w:rPr>
          <w:rFonts w:hint="eastAsia" w:ascii="微软雅黑" w:hAnsi="微软雅黑" w:eastAsia="微软雅黑" w:cs="微软雅黑"/>
          <w:b/>
          <w:bCs/>
          <w:color w:val="auto"/>
          <w:kern w:val="2"/>
          <w:sz w:val="28"/>
          <w:szCs w:val="28"/>
          <w:lang w:val="en-US" w:eastAsia="zh-CN" w:bidi="ar-SA"/>
        </w:rPr>
        <w:t>第二章  工程总承包项目的发包和承包</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第六条  建设单位应当根据项目情况和自身管理能力等，合理选择工程建设组织实施方式。建设内容明确、技术方案成熟的项目，适宜采用工程总承包方式。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第七条  建设单位应当在发包前完成项目审批、核准或者备案程序。采用工程总承包方式的企业投资项目，应当在核准或者备案后进行工程总承包项目发包。采用工程总承包方式的政府投资项目，原则上应当在初步设计审批完成后进行工程总承包项目发包；其中，按照国家有关规定简化报批文件和审批程序的政府投资项目，应当在完成相应的投资决策审批后进行工程总承包项目发包。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第八条  建设单位依法采用招标或者直接发包等方式选择工程总承包单位。工程总承包项目范围内的设计、采购或者施工中，有任一项属于依法必须进行招标的项目范围且达到国家规定规模标准的，应当采用招标的方式选择工程总承包单位。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第九条  建设单位应当根据招标项目的特点和需要编制工程总承包项目招标文件，主要包括以下内容：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投标人须知；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评标办法和标准；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 xml:space="preserve">拟签订合同的主要条款；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 xml:space="preserve">发包人要求，列明项目的目标、范围、设计和其他技术标准，包括对项目的内容、范围、规模、标准、功能、质量、安全、节约能源、生态环境保护、工期、验收等的明确要求；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 xml:space="preserve">建设单位提供的资料和条件，包括发包前完成的水文地质、工程地质、地形等勘察资料，以及可行性研究报告、方案设计文件或者初步设计文件等；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（六）</w:t>
      </w:r>
      <w:r>
        <w:rPr>
          <w:rFonts w:hint="eastAsia" w:ascii="宋体" w:hAnsi="宋体" w:eastAsia="宋体" w:cs="宋体"/>
          <w:color w:val="auto"/>
          <w:sz w:val="28"/>
          <w:szCs w:val="28"/>
        </w:rPr>
        <w:t xml:space="preserve">投标文件格式；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（七）</w:t>
      </w:r>
      <w:r>
        <w:rPr>
          <w:rFonts w:hint="eastAsia" w:ascii="宋体" w:hAnsi="宋体" w:eastAsia="宋体" w:cs="宋体"/>
          <w:color w:val="auto"/>
          <w:sz w:val="28"/>
          <w:szCs w:val="28"/>
        </w:rPr>
        <w:t xml:space="preserve">要求投标人提交的其他材料。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建设单位可以在招标文件中提出对履约担保的要求，依法要求投标文件载明拟分包的内容；对于设有最高投标限价的，应当明确最高投标限价或者最高投标限价的计算方法。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推荐使用由住房和城乡建设部会同有关部门制定的工程总承包合同示范文本。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第十条  工程总承包单位应当同时具有与工程规模相适应的工程设计资质和施工资质，或者由具有相应资质的设计单位和施工单位组成联合体。工程总承包单位应当具有相应的项目管理体系和项目管理能力、财务和风险承担能力，以及与发包工程相类似的设计、施工或者工程总承包业绩。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设计单位和施工单位组成联合体的，应当根据项目的特点和复杂程度，合理确定牵头单位，并在联合体协议中明确联合体成员单位的责任和权利。联合体各方应当共同与建设单位签订工程总承包合同，就工程总承包项目承担连带责任。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第十一条  工程总承包单位不得是工程总承包项目的代建单位、项目管理单位、监理单位、造价咨询单位、招标代理单位。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政府投资项目的项目建议书、可行性研究报告、初步设计文件编制单位及其评估单位，一般不得成为该项目的工程总承包单位。政府投资项目招标人公开已经完成的项目建议书、可行性研究报告、初步设计文件的，上述单位可以参与该工程总承包项目的投标，经依法评标、定标，成为工程总承包单位。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第十二条  鼓励设计单位申请取得施工资质，已取得工程设计综合资质、行业甲级资质、建筑工程专业甲级资质的单位，可以直接申请相应类别施工总承包一级资质。鼓励施工单位申请取得工程设计资质，具有一级及以上施工总承包资质的单位可以直接申请相应类别的工程设计甲级资质。完成的相应规模工程总承包业绩可以作为设计、施工业绩申报。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第十三条  建设单位应当依法确定投标人编制工程总承包项目投标文件所需要的合理时间。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第十四条  评标委员会应当依照法律规定和项目特点，由建设单位代表、具有工程总承包项目管理经验的专家，以及从事设计、施工、造价等方面的专家组成。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第十五条  建设单位和工程总承包单位应当加强风险管理，合理分担风险。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建设单位承担的风险主要包括：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主要工程材料、设备、人工价格与招标时基期价相比，波动幅度超过合同约定幅度的部分；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因国家法律法规政策变化引起的合同价格的变化；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 xml:space="preserve">不可预见的地质条件造成的工程费用和工期的变化；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 xml:space="preserve">因建设单位原因产生的工程费用和工期的变化；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 xml:space="preserve">不可抗力造成的工程费用和工期的变化。   具体风险分担内容由双方在合同中约定。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鼓励建设单位和工程总承包单位运用保险手段增强防范风险能力。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第十六条  企业投资项目的工程总承包宜采用总价合同，政府投资项目的工程总承包应当合理确定合同价格形式。采用总价合同的，除合同约定可以调整的情形外，合同总价一般不予调整。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建设单位和工程总承包单位可以在合同中约定工程总承包计量规则和计价方法。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依法必须进行招标的项目，合同价格应当在充分竞争的基础上合理确定。 </w:t>
      </w:r>
    </w:p>
    <w:p>
      <w:pPr>
        <w:pStyle w:val="3"/>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微软雅黑" w:hAnsi="微软雅黑" w:eastAsia="微软雅黑" w:cs="微软雅黑"/>
          <w:b/>
          <w:bCs/>
          <w:color w:val="auto"/>
          <w:sz w:val="28"/>
          <w:szCs w:val="28"/>
        </w:rPr>
        <w:t>第三章  工程总承包项目实施</w:t>
      </w:r>
      <w:r>
        <w:rPr>
          <w:rFonts w:hint="eastAsia" w:ascii="宋体" w:hAnsi="宋体" w:eastAsia="宋体" w:cs="宋体"/>
          <w:color w:val="auto"/>
          <w:sz w:val="28"/>
          <w:szCs w:val="28"/>
        </w:rPr>
        <w:t xml:space="preserve">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第十七条  建设单位根据自身资源和能力，可以自行对工程总承包项目进行管理，也可以委托勘察设计单位、代建单位等项目管理单位，赋予相应权利，依照合同对工程总承包项目进行管理。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第十八条  工程总承包单位应当建立与工程总承包相适应的组织机构和管理制度，形成项目设计、采购、施工、试运行管理以及质量、安全、工期、造价、节约能源和生态环境保护管理等工程总承包综合管理能力。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第十九条  工程总承包单位应当设立项目管理机构，设置项目经理，配备相应管理人员，加强设计、采购与施工的协调，完善和优化设计，改进施工方案，实现对工程总承包项目的有效管理控制。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第二十条  工程总承包项目经理应当具备下列条件：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取得相应工程建设类注册执业资格，包括注册建筑师、勘察设计注册工程师、注册建造师或者注册监理工程师等；未实施注册执业资格的，取得高级专业技术职称；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担任过与拟建项目相类似的工程总承包项目经理、设计项目负责人、施工项目负责人或者项目总监理工程师；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 xml:space="preserve">熟悉工程技术和工程总承包项目管理知识以及相关法律法规、标准规范；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 xml:space="preserve">具有较强的组织协调能力和良好的职业道德。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工程总承包项目经理不得同时在两个或者两个以上工程项目担任工程总承包项目经理、施工项目负责人。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第二十一条  工程总承包单位可以采用直接发包的方式进行分包。但以暂估价形式包括在总承包范围内的工程、货物、服务分包时，属于依法必须进行招标的项目范围且达到国家规定规模标准的，应当依法招标。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第二十二条  建设单位不得迫使工程总承包单位以低于成本的价格竞标，不得明示或者暗示工程总承包单位违反工程建设强制性标准、降低建设工程质量，不得明示或者暗示工程总承包单位使用不合格的建筑材料、建筑构配件和设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工程总承包单位应当对其承包的全部建设工程质量负责，分包单位对其分包工程的质量负责，分包不免除工程总承包单位对其承包的全部建设工程所负的质量责任。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工程总承包单位、工程总承包项目经理依法承担质量终身责任。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第二十三条  建设单位不得对工程总承包单位提出不符合建设工程安全生产法律、法规和强制性标准规定的要求，不得明示或者暗示工程总承包单位购买、租赁、使用不符合安全施工要求的安全防护用具、机械设备、施工机具及配件、消防设施和器材。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工程总承包单位对承包范围内工程的安全生产负总责。</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分包单位应当服从工程总承包单位的安全生产管理，分包单位不服从管理导致生产安全事故的，由分包单位承担主要责任，分包不免除工程总承包单位的安全责任。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第二十四条  建设单位不得设置不合理工期，不得任意压缩合理工期。工程总承包单位应当依据合同对工期全面负责，对项目总进度和各阶段的进度进行控制管理，确保工程按期竣工。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第二十五条  工程保修书由建设单位与工程总承包单位签署，保修期内工程总承包单位应当根据法律法规规定以及合同约定承担保修责任，工程总承包单位不得以其与分包单位之间保修责任划分而拒绝履行保修责任。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第二十六条  建设单位和工程总承包单位应当加强设计、施工等环节管理，确保建设地点、建设规模、建设内容等符合项目审批、核准、备案要求。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政府投资项目所需资金应当按照国家有关规定确保落实到位，不得由工程总承包单位或者分包单位垫资建设。政府投资项目建设投资原则上不得超过经核定的投资概算。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第二十七条  工程总承包单位和工程总承包项目经理在设计、施工活动中有转包违法分包等违法违规行为或者造成工程质量安全事故的，按照法律法规对设计、施工单位及其项目负责人相同违法违规行为的规定追究责任。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center"/>
        <w:textAlignment w:val="auto"/>
        <w:rPr>
          <w:rFonts w:hint="eastAsia" w:ascii="微软雅黑" w:hAnsi="微软雅黑" w:eastAsia="微软雅黑" w:cs="微软雅黑"/>
          <w:b/>
          <w:bCs/>
          <w:color w:val="auto"/>
          <w:kern w:val="2"/>
          <w:sz w:val="28"/>
          <w:szCs w:val="28"/>
          <w:lang w:val="en-US" w:eastAsia="zh-CN" w:bidi="ar-SA"/>
        </w:rPr>
      </w:pPr>
      <w:bookmarkStart w:id="0" w:name="_GoBack"/>
      <w:r>
        <w:rPr>
          <w:rFonts w:hint="eastAsia" w:ascii="微软雅黑" w:hAnsi="微软雅黑" w:eastAsia="微软雅黑" w:cs="微软雅黑"/>
          <w:b/>
          <w:bCs/>
          <w:color w:val="auto"/>
          <w:kern w:val="2"/>
          <w:sz w:val="28"/>
          <w:szCs w:val="28"/>
          <w:lang w:val="en-US" w:eastAsia="zh-CN" w:bidi="ar-SA"/>
        </w:rPr>
        <w:t xml:space="preserve">第四章  附则 </w:t>
      </w:r>
    </w:p>
    <w:bookmarkEnd w:id="0"/>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28"/>
          <w:szCs w:val="28"/>
        </w:rPr>
        <w:t xml:space="preserve">第二十八条  本办法自 2020 年3月1日起施行。 </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35" w:lineRule="auto"/>
      </w:pPr>
      <w:r>
        <w:separator/>
      </w:r>
    </w:p>
  </w:footnote>
  <w:footnote w:type="continuationSeparator" w:id="1">
    <w:p>
      <w:pPr>
        <w:spacing w:before="0" w:after="0" w:line="335"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NjA5NmZjYzhlZTc1YTg4ZDI2YzdjMDg3NzMyY2YifQ=="/>
  </w:docVars>
  <w:rsids>
    <w:rsidRoot w:val="26DA761E"/>
    <w:rsid w:val="22213F99"/>
    <w:rsid w:val="26DA7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335" w:lineRule="auto"/>
      <w:ind w:left="10" w:right="93" w:hanging="10"/>
    </w:pPr>
    <w:rPr>
      <w:rFonts w:ascii="微软雅黑" w:hAnsi="微软雅黑" w:eastAsia="微软雅黑" w:cs="微软雅黑"/>
      <w:color w:val="000000"/>
      <w:kern w:val="2"/>
      <w:sz w:val="34"/>
      <w:szCs w:val="22"/>
      <w:lang w:val="en-US" w:eastAsia="zh-CN" w:bidi="ar-SA"/>
    </w:rPr>
  </w:style>
  <w:style w:type="paragraph" w:styleId="2">
    <w:name w:val="heading 3"/>
    <w:next w:val="1"/>
    <w:unhideWhenUsed/>
    <w:qFormat/>
    <w:uiPriority w:val="9"/>
    <w:pPr>
      <w:keepNext/>
      <w:keepLines/>
      <w:spacing w:after="4" w:line="255" w:lineRule="auto"/>
      <w:ind w:left="10" w:right="431" w:hanging="10"/>
      <w:outlineLvl w:val="2"/>
    </w:pPr>
    <w:rPr>
      <w:rFonts w:ascii="微软雅黑" w:hAnsi="微软雅黑" w:eastAsia="微软雅黑" w:cs="微软雅黑"/>
      <w:color w:val="000000"/>
      <w:kern w:val="2"/>
      <w:sz w:val="44"/>
      <w:szCs w:val="22"/>
      <w:lang w:val="en-US" w:eastAsia="zh-CN" w:bidi="ar-SA"/>
    </w:rPr>
  </w:style>
  <w:style w:type="paragraph" w:styleId="3">
    <w:name w:val="heading 4"/>
    <w:next w:val="1"/>
    <w:unhideWhenUsed/>
    <w:qFormat/>
    <w:uiPriority w:val="9"/>
    <w:pPr>
      <w:keepNext/>
      <w:keepLines/>
      <w:spacing w:after="110" w:line="259" w:lineRule="auto"/>
      <w:ind w:left="10" w:right="430" w:hanging="10"/>
      <w:jc w:val="center"/>
      <w:outlineLvl w:val="3"/>
    </w:pPr>
    <w:rPr>
      <w:rFonts w:ascii="微软雅黑" w:hAnsi="微软雅黑" w:eastAsia="微软雅黑" w:cs="微软雅黑"/>
      <w:color w:val="000000"/>
      <w:kern w:val="2"/>
      <w:sz w:val="34"/>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2023-08-01T07:53:00Z</dcterms:created>
  <dc:creator>ʚ  ɞ</dc:creator>
  <cp:lastModifiedBy>WPS_1505371123</cp:lastModifiedBy>
  <dcterms:modified xsi:type="dcterms:W3CDTF">2023-08-03T06:47:39Z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0B0F6FBC470D4055ABC59B3C944ECF4D_11</vt:lpwstr>
  </property>
</Properties>
</file>