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青海省电子招投标公共服务平台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竞买人操作手册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val="en-US" w:eastAsia="zh-CN" w:bidi="ar"/>
        </w:rPr>
        <w:t>（矿业权交易）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2520" w:firstLineChars="90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2023 年 7 月 15 日</w:t>
      </w:r>
    </w:p>
    <w:p>
      <w:pPr>
        <w:pStyle w:val="2"/>
        <w:bidi w:val="0"/>
        <w:outlineLvl w:val="9"/>
        <w:rPr>
          <w:rFonts w:hint="eastAsia" w:ascii="宋体" w:hAnsi="宋体" w:eastAsia="宋体" w:cs="宋体"/>
          <w:sz w:val="28"/>
          <w:szCs w:val="28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</w:p>
    <w:sdt>
      <w:sdtP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id w:val="147472890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t>目录</w:t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TOC \o "1-3" \h \u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8"/>
            </w:rPr>
            <w:instrText xml:space="preserve"> HYPERLINK \l _Toc15434 </w:instrText>
          </w:r>
          <w:r>
            <w:rPr>
              <w:rFonts w:hint="eastAsia" w:ascii="宋体" w:hAnsi="宋体" w:eastAsia="宋体" w:cs="宋体"/>
              <w:bCs w:val="0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kern w:val="0"/>
              <w:szCs w:val="36"/>
              <w:lang w:val="en-US" w:eastAsia="zh-CN" w:bidi="ar"/>
            </w:rPr>
            <w:t>一、系统登录</w:t>
          </w:r>
          <w:r>
            <w:tab/>
          </w:r>
          <w:r>
            <w:fldChar w:fldCharType="begin"/>
          </w:r>
          <w:r>
            <w:instrText xml:space="preserve"> PAGEREF _Toc15434 \h </w:instrText>
          </w:r>
          <w:r>
            <w:fldChar w:fldCharType="separate"/>
          </w:r>
          <w:r>
            <w:t>- 2 -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8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8"/>
            </w:rPr>
            <w:instrText xml:space="preserve"> HYPERLINK \l _Toc829 </w:instrText>
          </w:r>
          <w:r>
            <w:rPr>
              <w:rFonts w:hint="eastAsia" w:ascii="宋体" w:hAnsi="宋体" w:eastAsia="宋体" w:cs="宋体"/>
              <w:bCs w:val="0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二、矿区申购</w:t>
          </w:r>
          <w:r>
            <w:tab/>
          </w:r>
          <w:r>
            <w:fldChar w:fldCharType="begin"/>
          </w:r>
          <w:r>
            <w:instrText xml:space="preserve"> PAGEREF _Toc829 \h </w:instrText>
          </w:r>
          <w:r>
            <w:fldChar w:fldCharType="separate"/>
          </w:r>
          <w:r>
            <w:t>- 3 -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8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8"/>
            </w:rPr>
            <w:instrText xml:space="preserve"> HYPERLINK \l _Toc6303 </w:instrText>
          </w:r>
          <w:r>
            <w:rPr>
              <w:rFonts w:hint="eastAsia" w:ascii="宋体" w:hAnsi="宋体" w:eastAsia="宋体" w:cs="宋体"/>
              <w:bCs w:val="0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三、网员报价</w:t>
          </w:r>
          <w:r>
            <w:tab/>
          </w:r>
          <w:r>
            <w:fldChar w:fldCharType="begin"/>
          </w:r>
          <w:r>
            <w:instrText xml:space="preserve"> PAGEREF _Toc6303 \h </w:instrText>
          </w:r>
          <w:r>
            <w:fldChar w:fldCharType="separate"/>
          </w:r>
          <w:r>
            <w:t>- 7 -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8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8"/>
            </w:rPr>
            <w:instrText xml:space="preserve"> HYPERLINK \l _Toc21880 </w:instrText>
          </w:r>
          <w:r>
            <w:rPr>
              <w:rFonts w:hint="eastAsia" w:ascii="宋体" w:hAnsi="宋体" w:eastAsia="宋体" w:cs="宋体"/>
              <w:bCs w:val="0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四、报价历史记录</w:t>
          </w:r>
          <w:r>
            <w:tab/>
          </w:r>
          <w:r>
            <w:fldChar w:fldCharType="begin"/>
          </w:r>
          <w:r>
            <w:instrText xml:space="preserve"> PAGEREF _Toc21880 \h </w:instrText>
          </w:r>
          <w:r>
            <w:fldChar w:fldCharType="separate"/>
          </w:r>
          <w:r>
            <w:t>- 12 -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8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8"/>
            </w:rPr>
            <w:instrText xml:space="preserve"> HYPERLINK \l _Toc13538 </w:instrText>
          </w:r>
          <w:r>
            <w:rPr>
              <w:rFonts w:hint="eastAsia" w:ascii="宋体" w:hAnsi="宋体" w:eastAsia="宋体" w:cs="宋体"/>
              <w:bCs w:val="0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五、我的文档</w:t>
          </w:r>
          <w:r>
            <w:tab/>
          </w:r>
          <w:r>
            <w:fldChar w:fldCharType="begin"/>
          </w:r>
          <w:r>
            <w:instrText xml:space="preserve"> PAGEREF _Toc13538 \h </w:instrText>
          </w:r>
          <w:r>
            <w:fldChar w:fldCharType="separate"/>
          </w:r>
          <w:r>
            <w:t>- 13 -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8"/>
            </w:rPr>
            <w:instrText xml:space="preserve"> HYPERLINK \l _Toc28151 </w:instrText>
          </w:r>
          <w:r>
            <w:rPr>
              <w:rFonts w:hint="eastAsia" w:ascii="宋体" w:hAnsi="宋体" w:eastAsia="宋体" w:cs="宋体"/>
              <w:bCs w:val="0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kern w:val="0"/>
              <w:szCs w:val="28"/>
              <w:lang w:val="en-US" w:eastAsia="zh-CN" w:bidi="ar"/>
            </w:rPr>
            <w:t>附录 1《CA 驱动安装及浏览器设置方法》</w:t>
          </w:r>
          <w:r>
            <w:tab/>
          </w:r>
          <w:r>
            <w:fldChar w:fldCharType="begin"/>
          </w:r>
          <w:r>
            <w:instrText xml:space="preserve"> PAGEREF _Toc28151 \h </w:instrText>
          </w:r>
          <w:r>
            <w:fldChar w:fldCharType="separate"/>
          </w:r>
          <w:r>
            <w:t>- 15 -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8"/>
            </w:rPr>
            <w:fldChar w:fldCharType="end"/>
          </w:r>
        </w:p>
        <w:p>
          <w:pPr>
            <w:bidi w:val="0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bCs w:val="0"/>
              <w:szCs w:val="28"/>
            </w:rPr>
            <w:fldChar w:fldCharType="end"/>
          </w:r>
        </w:p>
      </w:sdtContent>
    </w:sdt>
    <w:p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pStyle w:val="3"/>
        <w:bidi w:val="0"/>
        <w:rPr>
          <w:rFonts w:hint="eastAsia" w:ascii="宋体" w:hAnsi="宋体" w:eastAsia="宋体" w:cs="宋体"/>
          <w:b/>
          <w:color w:val="000000"/>
          <w:kern w:val="0"/>
          <w:sz w:val="36"/>
          <w:szCs w:val="36"/>
          <w:lang w:val="en-US" w:eastAsia="zh-CN" w:bidi="ar"/>
        </w:rPr>
      </w:pPr>
      <w:bookmarkStart w:id="0" w:name="_Toc15434"/>
      <w:r>
        <w:rPr>
          <w:rFonts w:hint="eastAsia" w:ascii="宋体" w:hAnsi="宋体" w:eastAsia="宋体" w:cs="宋体"/>
          <w:b/>
          <w:color w:val="000000"/>
          <w:kern w:val="0"/>
          <w:sz w:val="36"/>
          <w:szCs w:val="36"/>
          <w:lang w:val="en-US" w:eastAsia="zh-CN" w:bidi="ar"/>
        </w:rPr>
        <w:t>一、系统登录</w:t>
      </w:r>
      <w:bookmarkEnd w:id="0"/>
    </w:p>
    <w:p>
      <w:pPr>
        <w:keepNext w:val="0"/>
        <w:keepLines w:val="0"/>
        <w:pageBreakBefore w:val="0"/>
        <w:widowControl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b/>
          <w:bCs/>
          <w:color w:val="C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（1）首先打开IE浏览器（</w:t>
      </w:r>
      <w:r>
        <w:rPr>
          <w:rFonts w:hint="eastAsia" w:ascii="宋体" w:hAnsi="宋体" w:eastAsia="宋体" w:cs="宋体"/>
          <w:color w:val="C00000"/>
          <w:kern w:val="0"/>
          <w:sz w:val="28"/>
          <w:szCs w:val="28"/>
          <w:lang w:val="en-US" w:eastAsia="zh-CN" w:bidi="ar"/>
        </w:rPr>
        <w:t>注:必须使用IE11及以上版本浏览器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），进入青海省电子招标投标公共服务平台网站：(网址: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  <w:t>https://www.qhdzzbfw.gov.cn/fwpt/)点击交易平台,进入电子交易平台。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bookmarkStart w:id="7" w:name="_GoBack"/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4310" cy="1869440"/>
            <wp:effectExtent l="0" t="0" r="2540" b="1651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（2）进入电子交易平台后点击【矿业权交易】进入《青海省公共资源交易网V2.0》系统登录界面。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4310" cy="1868170"/>
            <wp:effectExtent l="0" t="0" r="2540" b="1778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插入CA锁，点击【CA 登录】输入CA锁密码，登录系统。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7325" cy="1861820"/>
            <wp:effectExtent l="0" t="0" r="9525" b="508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b/>
          <w:bCs/>
          <w:color w:val="C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C00000"/>
          <w:kern w:val="0"/>
          <w:sz w:val="28"/>
          <w:szCs w:val="28"/>
          <w:lang w:val="en-US" w:eastAsia="zh-CN" w:bidi="ar"/>
        </w:rPr>
        <w:t>注：①.未注册账号和办理CA证书的，请先注册账号并提交基本信息，审核通过后办理CA证书，账号注册方法,详见此附件</w:t>
      </w:r>
      <w:r>
        <w:rPr>
          <w:rFonts w:hint="eastAsia" w:ascii="宋体" w:hAnsi="宋体" w:eastAsia="宋体" w:cs="宋体"/>
          <w:b/>
          <w:bCs/>
          <w:color w:val="C00000"/>
          <w:kern w:val="0"/>
          <w:sz w:val="28"/>
          <w:szCs w:val="28"/>
          <w:lang w:val="en-US" w:eastAsia="zh-CN" w:bidi="ar"/>
        </w:rPr>
        <w:object>
          <v:shape id="_x0000_i1025" o:spt="75" type="#_x0000_t75" style="height:63.3pt;width:69.8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Package" ShapeID="_x0000_i1025" DrawAspect="Icon" ObjectID="_1468075725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281" w:firstLineChars="100"/>
        <w:jc w:val="left"/>
        <w:rPr>
          <w:rFonts w:hint="eastAsia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b/>
          <w:bCs/>
          <w:color w:val="C00000"/>
          <w:kern w:val="0"/>
          <w:sz w:val="28"/>
          <w:szCs w:val="28"/>
          <w:lang w:val="en-US" w:eastAsia="zh-CN" w:bidi="ar"/>
        </w:rPr>
        <w:t>②．CA锁登录，需提前下载安装CA驱动并进行浏览器兼容性视图设置。详见下文附录1《CA驱动安装及浏览器设置方法》</w:t>
      </w:r>
    </w:p>
    <w:p>
      <w:pPr>
        <w:pStyle w:val="3"/>
        <w:bidi w:val="0"/>
        <w:rPr>
          <w:rFonts w:hint="eastAsia" w:ascii="宋体" w:hAnsi="宋体" w:eastAsia="宋体" w:cs="宋体"/>
          <w:sz w:val="36"/>
          <w:szCs w:val="36"/>
        </w:rPr>
      </w:pPr>
      <w:bookmarkStart w:id="1" w:name="_Toc829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二、矿区申购</w:t>
      </w:r>
      <w:bookmarkEnd w:id="1"/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（1）登录系统后，点击【矿权交易】----【矿区申购】，点击想要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申购的标的后方【我要申购】列的操作按钮进入矿区申购流程。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202815"/>
            <wp:effectExtent l="0" t="0" r="6350" b="698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ab/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（2）阅读《矿业权交易规则》，阅读完成后点击【同意】。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183765"/>
            <wp:effectExtent l="0" t="0" r="6350" b="1079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（3）申请人信息填写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系统会从企业诚信库中获取单位的相关信息，如申请人信息有不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完整的，可在申请人信息填写步骤进行完善，例如：下图示例中地址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一栏没有信息，则需要将企业地址填写进去。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然后点击下一步，并进行确认。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5420" cy="2238375"/>
            <wp:effectExtent l="0" t="0" r="11430" b="952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（4） 填写竞买申请书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申请人确认竞买申请书内容，若标的有要求需上传报名相关附件的，可在下方的【报名所需文件】中点击【电子件管理】上传附件；若以上信息需要修改，则可点击【上一步】回到上一步进行，申请人信息修改；若以上信息确认无误，点击【申请】阅读【重要提示】点击【同意】确认申请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419600" cy="3924300"/>
            <wp:effectExtent l="0" t="0" r="0" b="0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4785" cy="2279650"/>
            <wp:effectExtent l="0" t="0" r="12065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（5） 信息确认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在信息确认页面，核对信息无误后，点击【确认】提交成功，系统自动关闭页面。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FF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FF0000"/>
          <w:kern w:val="0"/>
          <w:sz w:val="28"/>
          <w:szCs w:val="28"/>
          <w:lang w:val="en-US" w:eastAsia="zh-CN" w:bidi="ar"/>
        </w:rPr>
        <w:t>注：竞买号在缴纳保证金后可查看。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FF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2880" cy="3031490"/>
            <wp:effectExtent l="0" t="0" r="13970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（6）矿区详情查看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在标的信息展示列表页面，点击对应标的【矿区详情】列的查看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按钮，打开矿区详情查看页面。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1610" cy="2195195"/>
            <wp:effectExtent l="0" t="0" r="15240" b="146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（7）在矿权详情查看页面，可查看矿区目前进度、竞价开始倒计时、保证金额、保证金账号等信息。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3675" cy="2296795"/>
            <wp:effectExtent l="0" t="0" r="3175" b="825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="宋体" w:hAnsi="宋体" w:eastAsia="宋体" w:cs="宋体"/>
          <w:sz w:val="36"/>
          <w:szCs w:val="36"/>
        </w:rPr>
      </w:pPr>
      <w:bookmarkStart w:id="2" w:name="_Toc6303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三、网员报价</w:t>
      </w:r>
      <w:bookmarkEnd w:id="2"/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（1）点击【矿区交易】--【网员报价】点击对应标的【操作】列的操作按钮，进入协议阅读页面。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C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C00000"/>
          <w:kern w:val="0"/>
          <w:sz w:val="28"/>
          <w:szCs w:val="28"/>
          <w:lang w:val="en-US" w:eastAsia="zh-CN" w:bidi="ar"/>
        </w:rPr>
        <w:t>注：①.只有报名成功且已足额缴纳保证金的标的才有进入竞价的操作按钮。</w:t>
      </w:r>
    </w:p>
    <w:p>
      <w:pPr>
        <w:keepNext w:val="0"/>
        <w:keepLines w:val="0"/>
        <w:widowControl/>
        <w:suppressLineNumbers w:val="0"/>
        <w:ind w:firstLine="562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C00000"/>
          <w:kern w:val="0"/>
          <w:sz w:val="28"/>
          <w:szCs w:val="28"/>
          <w:lang w:val="en-US" w:eastAsia="zh-CN" w:bidi="ar"/>
        </w:rPr>
        <w:t>②.点开此【网员报价】标的列表页面后，默认显示的是竞价中的标的；竞买人可在上方的【竞价状态】筛选框进行筛选，显示全部、或尚未开始的标的。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9230" cy="2781935"/>
            <wp:effectExtent l="0" t="0" r="7620" b="1841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/>
          <w:color w:val="000000"/>
          <w:kern w:val="0"/>
          <w:sz w:val="28"/>
          <w:szCs w:val="28"/>
          <w:lang w:val="en-US" w:eastAsia="zh-CN" w:bidi="ar"/>
        </w:rPr>
        <w:t xml:space="preserve"> （2）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阅读《电子竞价风险告知及接受确认书》内容，点击【同意】按钮后进入报价页面。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9230" cy="2531110"/>
            <wp:effectExtent l="0" t="0" r="7620" b="254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（3） 竞价系统页面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展开更多按钮：点击竞价系统页面左上角的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61975" cy="247650"/>
            <wp:effectExtent l="0" t="0" r="9525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按钮可查看竞价概况和竞价记录。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9230" cy="2040890"/>
            <wp:effectExtent l="0" t="0" r="7620" b="1651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9230" cy="2054860"/>
            <wp:effectExtent l="0" t="0" r="7620" b="254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bidi w:val="0"/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报价说明</w:t>
      </w:r>
    </w:p>
    <w:p>
      <w:pPr>
        <w:numPr>
          <w:ilvl w:val="0"/>
          <w:numId w:val="0"/>
        </w:numPr>
        <w:bidi w:val="0"/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起始价报价：若此标的允许起始价报价，则此标的的第一次报价，可点击【起始价】后，点击【提交报价】进行起始价报价。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快速报价 = 起始价金额或当前最高报价金额 + 竞价阶梯金额 × 1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委托报价：委托报价可以实现无人值守报价，点击【委托报价】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后，进入委托报价书的页面，需要在委托报价书里面设置委托报价时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间间隔</w:t>
      </w:r>
      <w:r>
        <w:rPr>
          <w:rFonts w:hint="eastAsia" w:ascii="宋体" w:hAnsi="宋体" w:eastAsia="宋体" w:cs="宋体"/>
          <w:color w:val="FF0000"/>
          <w:kern w:val="0"/>
          <w:sz w:val="28"/>
          <w:szCs w:val="28"/>
          <w:lang w:val="en-US" w:eastAsia="zh-CN" w:bidi="ar"/>
        </w:rPr>
        <w:t>（以分钟为单位，即间隔多长时间进行一次快速报价）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、委托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最高价小写</w:t>
      </w:r>
      <w:r>
        <w:rPr>
          <w:rFonts w:hint="eastAsia" w:ascii="宋体" w:hAnsi="宋体" w:eastAsia="宋体" w:cs="宋体"/>
          <w:color w:val="FF0000"/>
          <w:kern w:val="0"/>
          <w:sz w:val="28"/>
          <w:szCs w:val="28"/>
          <w:lang w:val="en-US" w:eastAsia="zh-CN" w:bidi="ar"/>
        </w:rPr>
        <w:t xml:space="preserve">（以万元为单位，即委托报价最高报价到多少万元停止委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FF0000"/>
          <w:kern w:val="0"/>
          <w:sz w:val="28"/>
          <w:szCs w:val="28"/>
          <w:lang w:val="en-US" w:eastAsia="zh-CN" w:bidi="ar"/>
        </w:rPr>
        <w:t>托报价）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填写完毕后点击【确认】即可开始委托报价。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C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C00000"/>
          <w:kern w:val="0"/>
          <w:sz w:val="28"/>
          <w:szCs w:val="28"/>
          <w:lang w:val="en-US" w:eastAsia="zh-CN" w:bidi="ar"/>
        </w:rPr>
        <w:t>温馨提示：为避免报价失误，请尽量选择自行手动报价，非必要情况尽量少使用委托报价。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9230" cy="3012440"/>
            <wp:effectExtent l="0" t="0" r="7620" b="16510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3675" cy="5129530"/>
            <wp:effectExtent l="0" t="0" r="3175" b="1397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12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提交报价 = 起始价金额或当前最高报价金额 + 竞价阶梯 ×1、2、3、4、5、6（具体竞价阶梯的倍数，竞买人可自行选择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1135" cy="2432050"/>
            <wp:effectExtent l="0" t="0" r="5715" b="635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（5） 询问期</w:t>
      </w:r>
    </w:p>
    <w:p>
      <w:pPr>
        <w:bidi w:val="0"/>
        <w:ind w:firstLine="42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挂牌期限届满，有两人（含）以上已报价的，系统会询问是否参加延时竞价，此询问期时长为30分钟，竞买人点击【参加】可进入延时竞价环节，点击【不参加】则放弃竞价。</w:t>
      </w:r>
    </w:p>
    <w:p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C00000"/>
          <w:sz w:val="28"/>
          <w:szCs w:val="28"/>
          <w:lang w:val="en-US" w:eastAsia="zh-CN"/>
        </w:rPr>
        <w:t>注：当前报价最高的竞买人默认自动进入延时竞价。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270500" cy="2638425"/>
            <wp:effectExtent l="0" t="0" r="6350" b="9525"/>
            <wp:docPr id="21" name="图片 21" descr="延时竞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延时竞价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延时竞价</w:t>
      </w:r>
    </w:p>
    <w:p>
      <w:pPr>
        <w:numPr>
          <w:ilvl w:val="0"/>
          <w:numId w:val="0"/>
        </w:numPr>
        <w:bidi w:val="0"/>
        <w:ind w:firstLine="42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延时周期为 240 秒，在 240秒 内每报一次价，系 </w:t>
      </w:r>
    </w:p>
    <w:p>
      <w:pPr>
        <w:bidi w:val="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统会自动进入下一个 240 秒倒计时，直至 240 秒周期内无人报价则延时竞价结束，最高报价者成交。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4310" cy="2583815"/>
            <wp:effectExtent l="0" t="0" r="254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（7） 竞价结束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竞价结束后，对于页面显示竞价结束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200275"/>
            <wp:effectExtent l="0" t="0" r="6350" b="952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outlineLvl w:val="1"/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bookmarkStart w:id="3" w:name="_Toc21880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四、报价历史记录</w:t>
      </w:r>
      <w:bookmarkEnd w:id="3"/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188845"/>
            <wp:effectExtent l="0" t="0" r="6350" b="5715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点击具体项目，可根据历史报价记录进行查看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381250"/>
            <wp:effectExtent l="0" t="0" r="6350" b="11430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outlineLvl w:val="1"/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bookmarkStart w:id="4" w:name="_Toc13538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五、我的文档</w:t>
      </w:r>
      <w:bookmarkEnd w:id="4"/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208530"/>
            <wp:effectExtent l="0" t="0" r="6350" b="127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根据所在项目对交易过程中文档进行查看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六、合同备案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选取相应的项目，进行编辑，编辑完成后点击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287905"/>
            <wp:effectExtent l="0" t="0" r="6350" b="13335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bookmarkStart w:id="5" w:name="_Toc1077"/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jc w:val="left"/>
        <w:outlineLvl w:val="0"/>
        <w:rPr>
          <w:rFonts w:hint="eastAsia" w:ascii="宋体" w:hAnsi="宋体" w:eastAsia="宋体" w:cs="宋体"/>
          <w:sz w:val="28"/>
          <w:szCs w:val="28"/>
        </w:rPr>
      </w:pPr>
      <w:bookmarkStart w:id="6" w:name="_Toc28151"/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附录 1《CA 驱动安装及浏览器设置方法》</w:t>
      </w:r>
      <w:bookmarkEnd w:id="5"/>
      <w:bookmarkEnd w:id="6"/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>
      <w:pPr>
        <w:bidi w:val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（1） CA 驱动安装说明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首先进入青海省电子招标投标公共服务平台：https://www.qhggzyjy.gov.cn/fwpt/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1770" cy="2757170"/>
            <wp:effectExtent l="0" t="0" r="1270" b="127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进入“下载中心”栏目，下载驱动安装包。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9230" cy="2507615"/>
            <wp:effectExtent l="0" t="0" r="3810" b="6985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下载完成后，解压，双击应用程序。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9865" cy="1007110"/>
            <wp:effectExtent l="0" t="0" r="3175" b="13970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点击快速安装 ，进入安装页面。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9230" cy="3952240"/>
            <wp:effectExtent l="0" t="0" r="3810" b="10160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选择快速安装，默认均点确定，下一步，直到安装完成。</w:t>
      </w:r>
    </w:p>
    <w:p>
      <w:pPr>
        <w:bidi w:val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（2） 驱动安装后检测 </w:t>
      </w:r>
    </w:p>
    <w:p>
      <w:pPr>
        <w:bidi w:val="0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1、 启动检测工具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685800" cy="942975"/>
            <wp:effectExtent l="0" t="0" r="0" b="1905"/>
            <wp:docPr id="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用户可以点击桌面上的新点检测工具图标来启动检测工具。 </w:t>
      </w:r>
    </w:p>
    <w:p>
      <w:pPr>
        <w:bidi w:val="0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2、 系统检测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用户可以点击“一键检测”，选择证书，输入 Pin 码，可以检测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该证书 Key 是否可以正常使用。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3331845"/>
            <wp:effectExtent l="0" t="0" r="6350" b="5715"/>
            <wp:docPr id="4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9865" cy="3376295"/>
            <wp:effectExtent l="0" t="0" r="3175" b="6985"/>
            <wp:docPr id="4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如果检测完成后显示检测通过，且以上都是打勾，系统所需要控件都安装完毕了。 </w:t>
      </w:r>
    </w:p>
    <w:p>
      <w:pPr>
        <w:bidi w:val="0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3、 签章检测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此功能是用于测试证书 Key 是否可以正常盖章，请点击签章测试 ，在 出现的窗口中，选择签章的名称和签章的模式，并输入您的证书 Key的密码，点击确定按钮。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9865" cy="2951480"/>
            <wp:effectExtent l="0" t="0" r="3175" b="5080"/>
            <wp:docPr id="4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如果能成功加盖印章，并且有勾显示，则证明您的证书 Key 没有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问题。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1135" cy="2819400"/>
            <wp:effectExtent l="0" t="0" r="1905" b="0"/>
            <wp:docPr id="4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</w:p>
    <w:p>
      <w:pPr>
        <w:jc w:val="both"/>
        <w:rPr>
          <w:rFonts w:hint="eastAsia" w:ascii="宋体" w:hAnsi="宋体" w:eastAsia="宋体" w:cs="宋体"/>
          <w:spacing w:val="0"/>
          <w:w w:val="100"/>
          <w:position w:val="0"/>
          <w:sz w:val="28"/>
          <w:szCs w:val="28"/>
        </w:rPr>
      </w:pPr>
    </w:p>
    <w:p>
      <w:pPr>
        <w:bidi w:val="0"/>
        <w:rPr>
          <w:rFonts w:hint="eastAsia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（3）IE浏览器配置（也可以打开下载的驱动，点击一键检测，即可自动完成浏览器设置）</w:t>
      </w:r>
    </w:p>
    <w:p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①．打开 IE 浏览器，输入网址:</w:t>
      </w:r>
    </w:p>
    <w:p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u w:val="none"/>
          <w:lang w:val="en-US" w:eastAsia="zh-CN" w:bidi="ar"/>
        </w:rPr>
        <w:t>http://www.qhggzy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jy.gov.cn/TPBidder/memberLogin</w:t>
      </w:r>
    </w:p>
    <w:p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进入《青海省公共资源交易网 V2.0》系统登录界面。</w:t>
      </w:r>
    </w:p>
    <w:p>
      <w:pPr>
        <w:bidi w:val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②．在如下图位置点击鼠标右键，勾选“菜单栏”调出菜单栏 </w:t>
      </w:r>
    </w:p>
    <w:p>
      <w:pPr>
        <w:bidi w:val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3675" cy="2786380"/>
            <wp:effectExtent l="0" t="0" r="14605" b="2540"/>
            <wp:docPr id="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③．点击“工具”---“兼容性视图设置”</w:t>
      </w:r>
    </w:p>
    <w:p>
      <w:pPr>
        <w:bidi w:val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3675" cy="2813050"/>
            <wp:effectExtent l="0" t="0" r="14605" b="6350"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④．点击“添加”---关闭 完成</w:t>
      </w:r>
    </w:p>
    <w:p>
      <w:pPr>
        <w:bidi w:val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9230" cy="2778125"/>
            <wp:effectExtent l="0" t="0" r="3810" b="10795"/>
            <wp:docPr id="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7" name="文本框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2T0J0zAgAAYwQAAA4AAABkcnMvZTJvRG9jLnhtbK1UzY7TMBC+I/EO&#10;lu80aVcs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NJYZpVPz0/dvp&#10;x6/Tz68EZxCocWGGuAeHyNi+tS3aZjgPOEy828rr9AUjAj/kPV7kFW0kPF2aTqbTHC4O37ABfvZ4&#10;3fkQ3wmrSTIK6lG/TlZ22ITYhw4hKZuxa6lUV0NlSFPQ66vX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M2T0J0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rFonts w:hint="eastAsia"/>
      </w:rPr>
      <w:t>青海省电子招投标公共服务平台</w:t>
    </w:r>
    <w:r>
      <w:rPr>
        <w:rFonts w:hint="eastAsia"/>
        <w:lang w:eastAsia="zh-CN"/>
      </w:rPr>
      <w:t>——</w:t>
    </w:r>
    <w:r>
      <w:rPr>
        <w:rFonts w:hint="eastAsia"/>
      </w:rPr>
      <w:t>竞买人操作手册（矿业权交易）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7E8E23"/>
    <w:multiLevelType w:val="singleLevel"/>
    <w:tmpl w:val="C07E8E23"/>
    <w:lvl w:ilvl="0" w:tentative="0">
      <w:start w:val="6"/>
      <w:numFmt w:val="decimal"/>
      <w:suff w:val="nothing"/>
      <w:lvlText w:val="（%1）"/>
      <w:lvlJc w:val="left"/>
    </w:lvl>
  </w:abstractNum>
  <w:abstractNum w:abstractNumId="1">
    <w:nsid w:val="C8CA6F19"/>
    <w:multiLevelType w:val="singleLevel"/>
    <w:tmpl w:val="C8CA6F19"/>
    <w:lvl w:ilvl="0" w:tentative="0">
      <w:start w:val="1"/>
      <w:numFmt w:val="chineseCounting"/>
      <w:pStyle w:val="29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4768F133"/>
    <w:multiLevelType w:val="singleLevel"/>
    <w:tmpl w:val="4768F133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VlNjg4ZjcyZDY1NTAyNTQ1MDJlZTJjMjJmZTI1NmUifQ=="/>
  </w:docVars>
  <w:rsids>
    <w:rsidRoot w:val="00000000"/>
    <w:rsid w:val="01E17D10"/>
    <w:rsid w:val="02010721"/>
    <w:rsid w:val="05473591"/>
    <w:rsid w:val="07910D22"/>
    <w:rsid w:val="08503FA1"/>
    <w:rsid w:val="13FC63DD"/>
    <w:rsid w:val="17F64095"/>
    <w:rsid w:val="24160760"/>
    <w:rsid w:val="280D2910"/>
    <w:rsid w:val="2C203BF4"/>
    <w:rsid w:val="2C9C52B0"/>
    <w:rsid w:val="2EFC2B06"/>
    <w:rsid w:val="2FA02289"/>
    <w:rsid w:val="35AD769A"/>
    <w:rsid w:val="39BB79BD"/>
    <w:rsid w:val="40ED7B6B"/>
    <w:rsid w:val="44C9289C"/>
    <w:rsid w:val="5466138D"/>
    <w:rsid w:val="55EB01FD"/>
    <w:rsid w:val="572028C6"/>
    <w:rsid w:val="57670546"/>
    <w:rsid w:val="5D3844EA"/>
    <w:rsid w:val="698F29F8"/>
    <w:rsid w:val="6F0023BE"/>
    <w:rsid w:val="722348F4"/>
    <w:rsid w:val="79A04ED7"/>
    <w:rsid w:val="7BC637BA"/>
    <w:rsid w:val="7F004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Ascii" w:hAnsiTheme="minorAscii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able of authorities"/>
    <w:basedOn w:val="1"/>
    <w:next w:val="1"/>
    <w:qFormat/>
    <w:uiPriority w:val="0"/>
    <w:pPr>
      <w:ind w:left="420" w:leftChars="200"/>
    </w:p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qFormat/>
    <w:uiPriority w:val="0"/>
  </w:style>
  <w:style w:type="paragraph" w:styleId="10">
    <w:name w:val="toc 2"/>
    <w:basedOn w:val="1"/>
    <w:next w:val="1"/>
    <w:qFormat/>
    <w:uiPriority w:val="0"/>
    <w:pPr>
      <w:spacing w:line="360" w:lineRule="auto"/>
      <w:ind w:left="0" w:leftChars="0"/>
      <w:jc w:val="center"/>
    </w:pPr>
    <w:rPr>
      <w:rFonts w:ascii="Times New Roman" w:hAnsi="Times New Roman" w:eastAsia="宋体" w:cs="Times New Roman"/>
      <w:b/>
      <w:kern w:val="20"/>
      <w:sz w:val="32"/>
      <w:szCs w:val="22"/>
    </w:rPr>
  </w:style>
  <w:style w:type="character" w:styleId="13">
    <w:name w:val="Strong"/>
    <w:basedOn w:val="12"/>
    <w:qFormat/>
    <w:uiPriority w:val="0"/>
  </w:style>
  <w:style w:type="character" w:styleId="14">
    <w:name w:val="FollowedHyperlink"/>
    <w:basedOn w:val="12"/>
    <w:qFormat/>
    <w:uiPriority w:val="0"/>
    <w:rPr>
      <w:color w:val="800080"/>
      <w:u w:val="none"/>
    </w:rPr>
  </w:style>
  <w:style w:type="character" w:styleId="15">
    <w:name w:val="Emphasis"/>
    <w:basedOn w:val="12"/>
    <w:qFormat/>
    <w:uiPriority w:val="0"/>
  </w:style>
  <w:style w:type="character" w:styleId="16">
    <w:name w:val="HTML Definition"/>
    <w:basedOn w:val="12"/>
    <w:qFormat/>
    <w:uiPriority w:val="0"/>
  </w:style>
  <w:style w:type="character" w:styleId="17">
    <w:name w:val="HTML Typewriter"/>
    <w:basedOn w:val="12"/>
    <w:qFormat/>
    <w:uiPriority w:val="0"/>
    <w:rPr>
      <w:rFonts w:hint="default" w:ascii="monospace" w:hAnsi="monospace" w:eastAsia="monospace" w:cs="monospace"/>
      <w:sz w:val="20"/>
    </w:rPr>
  </w:style>
  <w:style w:type="character" w:styleId="18">
    <w:name w:val="HTML Acronym"/>
    <w:basedOn w:val="12"/>
    <w:qFormat/>
    <w:uiPriority w:val="0"/>
  </w:style>
  <w:style w:type="character" w:styleId="19">
    <w:name w:val="HTML Variable"/>
    <w:basedOn w:val="12"/>
    <w:qFormat/>
    <w:uiPriority w:val="0"/>
  </w:style>
  <w:style w:type="character" w:styleId="20">
    <w:name w:val="Hyperlink"/>
    <w:basedOn w:val="12"/>
    <w:qFormat/>
    <w:uiPriority w:val="0"/>
    <w:rPr>
      <w:color w:val="0000FF"/>
      <w:u w:val="single"/>
    </w:rPr>
  </w:style>
  <w:style w:type="character" w:styleId="21">
    <w:name w:val="HTML Code"/>
    <w:basedOn w:val="12"/>
    <w:qFormat/>
    <w:uiPriority w:val="0"/>
    <w:rPr>
      <w:rFonts w:hint="default" w:ascii="monospace" w:hAnsi="monospace" w:eastAsia="monospace" w:cs="monospace"/>
      <w:sz w:val="20"/>
    </w:rPr>
  </w:style>
  <w:style w:type="character" w:styleId="22">
    <w:name w:val="HTML Cite"/>
    <w:basedOn w:val="12"/>
    <w:qFormat/>
    <w:uiPriority w:val="0"/>
  </w:style>
  <w:style w:type="character" w:styleId="23">
    <w:name w:val="HTML Keyboard"/>
    <w:basedOn w:val="12"/>
    <w:qFormat/>
    <w:uiPriority w:val="0"/>
    <w:rPr>
      <w:rFonts w:hint="default" w:ascii="monospace" w:hAnsi="monospace" w:eastAsia="monospace" w:cs="monospace"/>
      <w:sz w:val="20"/>
    </w:rPr>
  </w:style>
  <w:style w:type="character" w:styleId="24">
    <w:name w:val="HTML Sample"/>
    <w:basedOn w:val="12"/>
    <w:qFormat/>
    <w:uiPriority w:val="0"/>
    <w:rPr>
      <w:rFonts w:ascii="monospace" w:hAnsi="monospace" w:eastAsia="monospace" w:cs="monospace"/>
    </w:rPr>
  </w:style>
  <w:style w:type="paragraph" w:customStyle="1" w:styleId="25">
    <w:name w:val="规范-页脚"/>
    <w:basedOn w:val="7"/>
    <w:qFormat/>
    <w:uiPriority w:val="0"/>
    <w:pPr>
      <w:jc w:val="center"/>
    </w:pPr>
    <w:rPr>
      <w:rFonts w:eastAsia="宋体" w:cs="Times New Roman" w:asciiTheme="minorAscii" w:hAnsiTheme="minorAscii"/>
      <w:szCs w:val="18"/>
    </w:rPr>
  </w:style>
  <w:style w:type="paragraph" w:customStyle="1" w:styleId="26">
    <w:name w:val="规范-目录内容"/>
    <w:basedOn w:val="5"/>
    <w:qFormat/>
    <w:uiPriority w:val="0"/>
    <w:rPr>
      <w:rFonts w:ascii="Times New Roman" w:hAnsi="Times New Roman" w:eastAsia="宋体" w:cs="Times New Roman"/>
      <w:szCs w:val="22"/>
    </w:rPr>
  </w:style>
  <w:style w:type="paragraph" w:customStyle="1" w:styleId="27">
    <w:name w:val="规范-正文内容"/>
    <w:basedOn w:val="1"/>
    <w:link w:val="28"/>
    <w:qFormat/>
    <w:uiPriority w:val="0"/>
    <w:pPr>
      <w:spacing w:line="360" w:lineRule="auto"/>
      <w:ind w:left="0" w:leftChars="0" w:firstLine="1166" w:firstLineChars="200"/>
      <w:jc w:val="left"/>
    </w:pPr>
    <w:rPr>
      <w:rFonts w:eastAsia="宋体" w:cs="Times New Roman" w:asciiTheme="minorAscii" w:hAnsiTheme="minorAscii"/>
      <w:szCs w:val="21"/>
    </w:rPr>
  </w:style>
  <w:style w:type="character" w:customStyle="1" w:styleId="28">
    <w:name w:val="规范-正文内容 Char"/>
    <w:link w:val="27"/>
    <w:qFormat/>
    <w:uiPriority w:val="0"/>
    <w:rPr>
      <w:rFonts w:eastAsia="宋体" w:cs="Times New Roman" w:asciiTheme="minorAscii" w:hAnsiTheme="minorAscii"/>
      <w:szCs w:val="21"/>
    </w:rPr>
  </w:style>
  <w:style w:type="paragraph" w:customStyle="1" w:styleId="29">
    <w:name w:val="规范-小标题第一级"/>
    <w:basedOn w:val="1"/>
    <w:link w:val="30"/>
    <w:qFormat/>
    <w:uiPriority w:val="0"/>
    <w:pPr>
      <w:numPr>
        <w:ilvl w:val="0"/>
        <w:numId w:val="1"/>
      </w:numPr>
      <w:spacing w:before="120" w:after="120" w:line="360" w:lineRule="auto"/>
      <w:ind w:firstLine="0"/>
      <w:outlineLvl w:val="0"/>
    </w:pPr>
    <w:rPr>
      <w:rFonts w:eastAsia="宋体" w:cs="Times New Roman" w:asciiTheme="minorAscii" w:hAnsiTheme="minorAscii"/>
      <w:b/>
      <w:sz w:val="32"/>
      <w:szCs w:val="22"/>
    </w:rPr>
  </w:style>
  <w:style w:type="character" w:customStyle="1" w:styleId="30">
    <w:name w:val="规范-小标题第一级 Char"/>
    <w:link w:val="29"/>
    <w:qFormat/>
    <w:uiPriority w:val="0"/>
    <w:rPr>
      <w:rFonts w:eastAsia="宋体" w:cs="Times New Roman" w:asciiTheme="minorAscii" w:hAnsiTheme="minorAscii"/>
      <w:b/>
      <w:sz w:val="32"/>
      <w:szCs w:val="22"/>
    </w:rPr>
  </w:style>
  <w:style w:type="paragraph" w:customStyle="1" w:styleId="31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2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3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2158</Words>
  <Characters>2327</Characters>
  <Lines>0</Lines>
  <Paragraphs>0</Paragraphs>
  <TotalTime>0</TotalTime>
  <ScaleCrop>false</ScaleCrop>
  <LinksUpToDate>false</LinksUpToDate>
  <CharactersWithSpaces>2443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2019-11-10T08:28:00Z</dcterms:created>
  <dc:creator>Administrator</dc:creator>
  <cp:lastModifiedBy>anya1</cp:lastModifiedBy>
  <dcterms:modified xsi:type="dcterms:W3CDTF">2023-07-15T10:09:37Z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30D7E85CAD924DACAAD393946205E15B_13</vt:lpwstr>
  </property>
</Properties>
</file>